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D95F1" w14:textId="77777777" w:rsidR="00C517CD" w:rsidRDefault="00C517CD" w:rsidP="00DA64CD">
      <w:pPr>
        <w:rPr>
          <w:b/>
          <w:bCs/>
          <w:sz w:val="28"/>
          <w:szCs w:val="28"/>
        </w:rPr>
      </w:pPr>
    </w:p>
    <w:p w14:paraId="5B61C547" w14:textId="77777777" w:rsidR="00C517CD" w:rsidRDefault="00C517CD" w:rsidP="00DA64CD">
      <w:pPr>
        <w:rPr>
          <w:b/>
          <w:bCs/>
          <w:sz w:val="28"/>
          <w:szCs w:val="28"/>
        </w:rPr>
      </w:pPr>
    </w:p>
    <w:p w14:paraId="141C035E" w14:textId="77777777" w:rsidR="00C517CD" w:rsidRDefault="00C517CD" w:rsidP="00C517CD">
      <w:pPr>
        <w:pStyle w:val="Nagwek"/>
        <w:jc w:val="right"/>
      </w:pPr>
      <w:r>
        <w:t>Załącznik nr 1_1</w:t>
      </w:r>
    </w:p>
    <w:p w14:paraId="5D1918DA" w14:textId="77777777" w:rsidR="00C517CD" w:rsidRDefault="00C517CD" w:rsidP="00DA64CD">
      <w:pPr>
        <w:rPr>
          <w:b/>
          <w:bCs/>
          <w:sz w:val="28"/>
          <w:szCs w:val="28"/>
        </w:rPr>
      </w:pPr>
    </w:p>
    <w:p w14:paraId="77F5509B" w14:textId="50DA2DBA" w:rsidR="00DA64CD" w:rsidRPr="00626477" w:rsidRDefault="0030484E" w:rsidP="00DA64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="004650E2">
        <w:rPr>
          <w:b/>
          <w:bCs/>
          <w:sz w:val="28"/>
          <w:szCs w:val="28"/>
        </w:rPr>
        <w:t>pisu przedmiotu zamówienia</w:t>
      </w:r>
    </w:p>
    <w:p w14:paraId="0105B001" w14:textId="5375D813" w:rsidR="00DA64CD" w:rsidRPr="00626477" w:rsidRDefault="00DA64CD" w:rsidP="00626477">
      <w:pPr>
        <w:spacing w:line="240" w:lineRule="auto"/>
        <w:jc w:val="both"/>
        <w:rPr>
          <w:sz w:val="24"/>
          <w:szCs w:val="24"/>
        </w:rPr>
      </w:pPr>
      <w:r w:rsidRPr="00626477">
        <w:rPr>
          <w:sz w:val="24"/>
          <w:szCs w:val="24"/>
        </w:rPr>
        <w:t xml:space="preserve">1. </w:t>
      </w:r>
      <w:r w:rsidR="00CE0505" w:rsidRPr="00626477">
        <w:rPr>
          <w:sz w:val="24"/>
          <w:szCs w:val="24"/>
        </w:rPr>
        <w:t xml:space="preserve">Moc całkowita projektowanej instalacji fotowoltaicznej </w:t>
      </w:r>
      <w:proofErr w:type="gramStart"/>
      <w:r w:rsidR="00CE0505" w:rsidRPr="00626477">
        <w:rPr>
          <w:sz w:val="24"/>
          <w:szCs w:val="24"/>
        </w:rPr>
        <w:t>wynosi</w:t>
      </w:r>
      <w:r w:rsidR="006F714D">
        <w:rPr>
          <w:sz w:val="24"/>
          <w:szCs w:val="24"/>
        </w:rPr>
        <w:t xml:space="preserve"> </w:t>
      </w:r>
      <w:r w:rsidR="00CE0505" w:rsidRPr="00626477">
        <w:rPr>
          <w:sz w:val="24"/>
          <w:szCs w:val="24"/>
        </w:rPr>
        <w:t xml:space="preserve"> </w:t>
      </w:r>
      <w:r w:rsidR="006F714D">
        <w:rPr>
          <w:sz w:val="24"/>
          <w:szCs w:val="24"/>
        </w:rPr>
        <w:t>co</w:t>
      </w:r>
      <w:proofErr w:type="gramEnd"/>
      <w:r w:rsidR="006F714D">
        <w:rPr>
          <w:sz w:val="24"/>
          <w:szCs w:val="24"/>
        </w:rPr>
        <w:t xml:space="preserve"> najmniej 2x18</w:t>
      </w:r>
      <w:r w:rsidR="004650E2">
        <w:rPr>
          <w:sz w:val="24"/>
          <w:szCs w:val="24"/>
        </w:rPr>
        <w:t>000</w:t>
      </w:r>
      <w:r w:rsidR="006F714D">
        <w:rPr>
          <w:sz w:val="24"/>
          <w:szCs w:val="24"/>
        </w:rPr>
        <w:t xml:space="preserve"> </w:t>
      </w:r>
      <w:proofErr w:type="spellStart"/>
      <w:r w:rsidR="006F714D">
        <w:rPr>
          <w:sz w:val="24"/>
          <w:szCs w:val="24"/>
        </w:rPr>
        <w:t>Wp</w:t>
      </w:r>
      <w:proofErr w:type="spellEnd"/>
      <w:r w:rsidR="006F714D">
        <w:rPr>
          <w:sz w:val="24"/>
          <w:szCs w:val="24"/>
        </w:rPr>
        <w:t>=</w:t>
      </w:r>
      <w:r w:rsidR="00CE0505" w:rsidRPr="00626477">
        <w:rPr>
          <w:sz w:val="24"/>
          <w:szCs w:val="24"/>
        </w:rPr>
        <w:t>36</w:t>
      </w:r>
      <w:r w:rsidR="004650E2">
        <w:rPr>
          <w:sz w:val="24"/>
          <w:szCs w:val="24"/>
        </w:rPr>
        <w:t>000</w:t>
      </w:r>
      <w:r w:rsidR="00CE0505" w:rsidRPr="00626477">
        <w:rPr>
          <w:sz w:val="24"/>
          <w:szCs w:val="24"/>
        </w:rPr>
        <w:t>Wp</w:t>
      </w:r>
      <w:r w:rsidR="006F714D">
        <w:rPr>
          <w:sz w:val="24"/>
          <w:szCs w:val="24"/>
        </w:rPr>
        <w:t>. Moc paneli fotowoltaicznych powinna być tak dobrana</w:t>
      </w:r>
      <w:r w:rsidR="004650E2">
        <w:rPr>
          <w:sz w:val="24"/>
          <w:szCs w:val="24"/>
        </w:rPr>
        <w:t>, aby</w:t>
      </w:r>
      <w:r w:rsidR="006F714D">
        <w:rPr>
          <w:sz w:val="24"/>
          <w:szCs w:val="24"/>
        </w:rPr>
        <w:t xml:space="preserve"> ich sumaryczna moc nie była mniejsza niż 36000Wp przy łącznej ilości 72 paneli.</w:t>
      </w:r>
      <w:r w:rsidR="00BB7A58">
        <w:rPr>
          <w:sz w:val="24"/>
          <w:szCs w:val="24"/>
        </w:rPr>
        <w:t xml:space="preserve"> Wszystkie panele o identycznych parametrach tego samego typu i tego samego producenta.</w:t>
      </w:r>
    </w:p>
    <w:p w14:paraId="364B0B88" w14:textId="6AEF383A" w:rsidR="00CE0505" w:rsidRPr="00626477" w:rsidRDefault="00DA64CD" w:rsidP="00626477">
      <w:pPr>
        <w:spacing w:line="240" w:lineRule="auto"/>
        <w:jc w:val="both"/>
        <w:rPr>
          <w:sz w:val="24"/>
          <w:szCs w:val="24"/>
        </w:rPr>
      </w:pPr>
      <w:r w:rsidRPr="00626477">
        <w:rPr>
          <w:sz w:val="24"/>
          <w:szCs w:val="24"/>
        </w:rPr>
        <w:t xml:space="preserve">2. </w:t>
      </w:r>
      <w:r w:rsidR="006F714D">
        <w:rPr>
          <w:sz w:val="24"/>
          <w:szCs w:val="24"/>
        </w:rPr>
        <w:t xml:space="preserve">Instalacja składa się z dwóch (2) bloków o mocy minimum 18000Wp każdy. Każdy z bloków posiada 36szt paneli fotowoltaicznych i </w:t>
      </w:r>
      <w:r w:rsidR="007335AA">
        <w:rPr>
          <w:sz w:val="24"/>
          <w:szCs w:val="24"/>
        </w:rPr>
        <w:t>inwerter</w:t>
      </w:r>
      <w:r w:rsidR="006F714D">
        <w:rPr>
          <w:sz w:val="24"/>
          <w:szCs w:val="24"/>
        </w:rPr>
        <w:t>.</w:t>
      </w:r>
      <w:r w:rsidR="006F714D" w:rsidRPr="00626477">
        <w:rPr>
          <w:sz w:val="24"/>
          <w:szCs w:val="24"/>
        </w:rPr>
        <w:t xml:space="preserve"> </w:t>
      </w:r>
      <w:r w:rsidR="00CE0505" w:rsidRPr="00626477">
        <w:rPr>
          <w:sz w:val="24"/>
          <w:szCs w:val="24"/>
        </w:rPr>
        <w:t xml:space="preserve">Przewidziano montaż łącznie 72 szt. </w:t>
      </w:r>
      <w:r w:rsidR="00626477" w:rsidRPr="00626477">
        <w:rPr>
          <w:sz w:val="24"/>
          <w:szCs w:val="24"/>
        </w:rPr>
        <w:t>p</w:t>
      </w:r>
      <w:r w:rsidR="00CE0505" w:rsidRPr="00626477">
        <w:rPr>
          <w:sz w:val="24"/>
          <w:szCs w:val="24"/>
        </w:rPr>
        <w:t xml:space="preserve">aneli fotowoltaicznych na konstrukcji wsporczej. </w:t>
      </w:r>
      <w:r w:rsidR="007335AA">
        <w:rPr>
          <w:sz w:val="24"/>
          <w:szCs w:val="24"/>
        </w:rPr>
        <w:t>Jeden blok n</w:t>
      </w:r>
      <w:r w:rsidR="00CE0505" w:rsidRPr="00626477">
        <w:rPr>
          <w:sz w:val="24"/>
          <w:szCs w:val="24"/>
        </w:rPr>
        <w:t>a brzegu zbiornika 36 szt</w:t>
      </w:r>
      <w:r w:rsidR="007335AA">
        <w:rPr>
          <w:sz w:val="24"/>
          <w:szCs w:val="24"/>
        </w:rPr>
        <w:t>. (paneli)</w:t>
      </w:r>
      <w:r w:rsidR="00CE0505" w:rsidRPr="00626477">
        <w:rPr>
          <w:sz w:val="24"/>
          <w:szCs w:val="24"/>
        </w:rPr>
        <w:t xml:space="preserve"> oraz</w:t>
      </w:r>
      <w:r w:rsidR="007335AA">
        <w:rPr>
          <w:sz w:val="24"/>
          <w:szCs w:val="24"/>
        </w:rPr>
        <w:t xml:space="preserve"> drugi blok</w:t>
      </w:r>
      <w:r w:rsidR="00CE0505" w:rsidRPr="00626477">
        <w:rPr>
          <w:sz w:val="24"/>
          <w:szCs w:val="24"/>
        </w:rPr>
        <w:t xml:space="preserve"> na dachu budynku stacji </w:t>
      </w:r>
      <w:r w:rsidR="007335AA">
        <w:rPr>
          <w:sz w:val="24"/>
          <w:szCs w:val="24"/>
        </w:rPr>
        <w:t xml:space="preserve">uzdatniania wody </w:t>
      </w:r>
      <w:r w:rsidR="00CE0505" w:rsidRPr="00626477">
        <w:rPr>
          <w:sz w:val="24"/>
          <w:szCs w:val="24"/>
        </w:rPr>
        <w:t>36 szt</w:t>
      </w:r>
      <w:r w:rsidR="007335AA">
        <w:rPr>
          <w:sz w:val="24"/>
          <w:szCs w:val="24"/>
        </w:rPr>
        <w:t>. (36 paneli)</w:t>
      </w:r>
      <w:r w:rsidR="00CE0505" w:rsidRPr="00626477">
        <w:rPr>
          <w:sz w:val="24"/>
          <w:szCs w:val="24"/>
        </w:rPr>
        <w:t>.</w:t>
      </w:r>
      <w:r w:rsidR="006F714D">
        <w:rPr>
          <w:sz w:val="24"/>
          <w:szCs w:val="24"/>
        </w:rPr>
        <w:t xml:space="preserve"> </w:t>
      </w:r>
      <w:r w:rsidR="007335AA">
        <w:rPr>
          <w:sz w:val="24"/>
          <w:szCs w:val="24"/>
        </w:rPr>
        <w:t xml:space="preserve">Wskazane jest </w:t>
      </w:r>
      <w:proofErr w:type="gramStart"/>
      <w:r w:rsidR="007335AA">
        <w:rPr>
          <w:sz w:val="24"/>
          <w:szCs w:val="24"/>
        </w:rPr>
        <w:t>wykonanie  konstrukcji</w:t>
      </w:r>
      <w:proofErr w:type="gramEnd"/>
      <w:r w:rsidR="007335AA">
        <w:rPr>
          <w:sz w:val="24"/>
          <w:szCs w:val="24"/>
        </w:rPr>
        <w:t xml:space="preserve"> nośnej ze stali ocynkowanej.  </w:t>
      </w:r>
    </w:p>
    <w:p w14:paraId="20A1D25E" w14:textId="28142FD3" w:rsidR="00DA64CD" w:rsidRPr="00626477" w:rsidRDefault="00DA64CD" w:rsidP="00626477">
      <w:pPr>
        <w:spacing w:line="240" w:lineRule="auto"/>
        <w:jc w:val="both"/>
        <w:rPr>
          <w:sz w:val="24"/>
          <w:szCs w:val="24"/>
        </w:rPr>
      </w:pPr>
      <w:r w:rsidRPr="00626477">
        <w:rPr>
          <w:sz w:val="24"/>
          <w:szCs w:val="24"/>
        </w:rPr>
        <w:t xml:space="preserve">3. </w:t>
      </w:r>
      <w:r w:rsidR="00CE0505" w:rsidRPr="00626477">
        <w:rPr>
          <w:sz w:val="24"/>
          <w:szCs w:val="24"/>
        </w:rPr>
        <w:t>Istniejący dach budynku</w:t>
      </w:r>
      <w:r w:rsidR="007335AA">
        <w:rPr>
          <w:sz w:val="24"/>
          <w:szCs w:val="24"/>
        </w:rPr>
        <w:t xml:space="preserve"> stacji uzdatniania wody jest</w:t>
      </w:r>
      <w:r w:rsidR="00CE0505" w:rsidRPr="00626477">
        <w:rPr>
          <w:sz w:val="24"/>
          <w:szCs w:val="24"/>
        </w:rPr>
        <w:t xml:space="preserve"> o konstrukcji stropodachu z elementów prefabrykowanych wzmocnionych belkami żelbetowymi</w:t>
      </w:r>
      <w:r w:rsidRPr="00626477">
        <w:rPr>
          <w:sz w:val="24"/>
          <w:szCs w:val="24"/>
        </w:rPr>
        <w:t xml:space="preserve"> </w:t>
      </w:r>
      <w:r w:rsidR="00CE0505" w:rsidRPr="00626477">
        <w:rPr>
          <w:sz w:val="24"/>
          <w:szCs w:val="24"/>
        </w:rPr>
        <w:t>pokryty warstw</w:t>
      </w:r>
      <w:r w:rsidR="00F64552" w:rsidRPr="00626477">
        <w:rPr>
          <w:sz w:val="24"/>
          <w:szCs w:val="24"/>
        </w:rPr>
        <w:t>ą</w:t>
      </w:r>
      <w:r w:rsidR="00CE0505" w:rsidRPr="00626477">
        <w:rPr>
          <w:sz w:val="24"/>
          <w:szCs w:val="24"/>
        </w:rPr>
        <w:t xml:space="preserve"> izolacji termicznej </w:t>
      </w:r>
      <w:r w:rsidR="00F64552" w:rsidRPr="00626477">
        <w:rPr>
          <w:sz w:val="24"/>
          <w:szCs w:val="24"/>
        </w:rPr>
        <w:t>z płyt styropianowych oraz membraną typu EPDM</w:t>
      </w:r>
      <w:r w:rsidR="004650E2">
        <w:rPr>
          <w:sz w:val="24"/>
          <w:szCs w:val="24"/>
        </w:rPr>
        <w:t>.</w:t>
      </w:r>
      <w:r w:rsidR="00CE0505" w:rsidRPr="00626477">
        <w:rPr>
          <w:sz w:val="24"/>
          <w:szCs w:val="24"/>
        </w:rPr>
        <w:t xml:space="preserve"> </w:t>
      </w:r>
      <w:r w:rsidR="00F64552" w:rsidRPr="00626477">
        <w:rPr>
          <w:sz w:val="24"/>
          <w:szCs w:val="24"/>
        </w:rPr>
        <w:t xml:space="preserve">Konstrukcja wsporcza paneli na dachu powinna zostać odizolowana od powierzchni pokrycia podkładkami zapewniającymi przeniesienie obciążeń oraz zabezpieczenie warstwy EPDM przed rozszczelnieniem. Nie dopuszcza się ingerencji w pokrycie dachu celem </w:t>
      </w:r>
      <w:proofErr w:type="spellStart"/>
      <w:r w:rsidR="00F64552" w:rsidRPr="00626477">
        <w:rPr>
          <w:sz w:val="24"/>
          <w:szCs w:val="24"/>
        </w:rPr>
        <w:t>kotwienia</w:t>
      </w:r>
      <w:proofErr w:type="spellEnd"/>
      <w:r w:rsidR="00F64552" w:rsidRPr="00626477">
        <w:rPr>
          <w:sz w:val="24"/>
          <w:szCs w:val="24"/>
        </w:rPr>
        <w:t xml:space="preserve"> konstrukcji wsporczej. </w:t>
      </w:r>
    </w:p>
    <w:p w14:paraId="19B642E3" w14:textId="01478D9C" w:rsidR="00330B23" w:rsidRDefault="004650E2" w:rsidP="0062647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26477" w:rsidRPr="00626477">
        <w:rPr>
          <w:sz w:val="24"/>
          <w:szCs w:val="24"/>
        </w:rPr>
        <w:t xml:space="preserve">. Do operatora systemu energetycznego zostały zgłoszone </w:t>
      </w:r>
      <w:r w:rsidR="007335AA">
        <w:rPr>
          <w:sz w:val="24"/>
          <w:szCs w:val="24"/>
        </w:rPr>
        <w:t>inwertery</w:t>
      </w:r>
      <w:r w:rsidR="00626477" w:rsidRPr="00626477">
        <w:rPr>
          <w:sz w:val="24"/>
          <w:szCs w:val="24"/>
        </w:rPr>
        <w:t xml:space="preserve"> </w:t>
      </w:r>
      <w:r w:rsidR="006F714D">
        <w:rPr>
          <w:sz w:val="24"/>
          <w:szCs w:val="24"/>
        </w:rPr>
        <w:t>wskazane w</w:t>
      </w:r>
      <w:r w:rsidR="00626477" w:rsidRPr="00626477">
        <w:rPr>
          <w:sz w:val="24"/>
          <w:szCs w:val="24"/>
        </w:rPr>
        <w:t xml:space="preserve"> opracowaniu technicznym, została zawarta umowa z firmą Tauron</w:t>
      </w:r>
      <w:r w:rsidR="007335AA">
        <w:rPr>
          <w:sz w:val="24"/>
          <w:szCs w:val="24"/>
        </w:rPr>
        <w:t xml:space="preserve"> </w:t>
      </w:r>
      <w:proofErr w:type="gramStart"/>
      <w:r w:rsidR="007335AA">
        <w:rPr>
          <w:sz w:val="24"/>
          <w:szCs w:val="24"/>
        </w:rPr>
        <w:t xml:space="preserve">Dystrybucja </w:t>
      </w:r>
      <w:r w:rsidR="00626477" w:rsidRPr="00626477">
        <w:rPr>
          <w:sz w:val="24"/>
          <w:szCs w:val="24"/>
        </w:rPr>
        <w:t xml:space="preserve"> oraz</w:t>
      </w:r>
      <w:proofErr w:type="gramEnd"/>
      <w:r w:rsidR="00626477" w:rsidRPr="00626477">
        <w:rPr>
          <w:sz w:val="24"/>
          <w:szCs w:val="24"/>
        </w:rPr>
        <w:t xml:space="preserve"> założony został przez operatora systemu</w:t>
      </w:r>
      <w:r w:rsidR="007335AA">
        <w:rPr>
          <w:sz w:val="24"/>
          <w:szCs w:val="24"/>
        </w:rPr>
        <w:t xml:space="preserve"> dystrybucyjnego</w:t>
      </w:r>
      <w:r w:rsidR="00626477" w:rsidRPr="00626477">
        <w:rPr>
          <w:sz w:val="24"/>
          <w:szCs w:val="24"/>
        </w:rPr>
        <w:t xml:space="preserve"> licznik dwukierunkowy. </w:t>
      </w:r>
      <w:r w:rsidR="007335AA">
        <w:rPr>
          <w:sz w:val="24"/>
          <w:szCs w:val="24"/>
        </w:rPr>
        <w:t>W przypadku zaoferowania innych równoważnych inwerterów wymagane będzie dokonanie odpowiedniego zgłoszenia do operatora systemu dystrybucyjnego.</w:t>
      </w:r>
      <w:r w:rsidR="00BB7A58">
        <w:rPr>
          <w:sz w:val="24"/>
          <w:szCs w:val="24"/>
        </w:rPr>
        <w:t xml:space="preserve"> Oba inwertery o identycznych parametrach tego samego typu i tego samego producenta.</w:t>
      </w:r>
    </w:p>
    <w:p w14:paraId="47C41D5B" w14:textId="42204294" w:rsidR="003A14F8" w:rsidRDefault="004650E2" w:rsidP="00626477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3A14F8">
        <w:rPr>
          <w:sz w:val="24"/>
          <w:szCs w:val="24"/>
        </w:rPr>
        <w:t xml:space="preserve">Jako </w:t>
      </w:r>
      <w:r w:rsidR="007335AA">
        <w:rPr>
          <w:sz w:val="24"/>
          <w:szCs w:val="24"/>
        </w:rPr>
        <w:t xml:space="preserve">inwertery </w:t>
      </w:r>
      <w:r w:rsidR="003A14F8">
        <w:rPr>
          <w:sz w:val="24"/>
          <w:szCs w:val="24"/>
        </w:rPr>
        <w:t>równoważne</w:t>
      </w:r>
      <w:r w:rsidR="007335AA">
        <w:rPr>
          <w:sz w:val="24"/>
          <w:szCs w:val="24"/>
        </w:rPr>
        <w:t xml:space="preserve"> w stosunku do wskazanych w opracowaniu technicznym</w:t>
      </w:r>
      <w:r w:rsidR="003A14F8">
        <w:rPr>
          <w:sz w:val="24"/>
          <w:szCs w:val="24"/>
        </w:rPr>
        <w:t xml:space="preserve"> dopuszcz</w:t>
      </w:r>
      <w:r w:rsidR="007335AA">
        <w:rPr>
          <w:sz w:val="24"/>
          <w:szCs w:val="24"/>
        </w:rPr>
        <w:t>one</w:t>
      </w:r>
      <w:r w:rsidR="003A14F8">
        <w:rPr>
          <w:sz w:val="24"/>
          <w:szCs w:val="24"/>
        </w:rPr>
        <w:t xml:space="preserve"> s</w:t>
      </w:r>
      <w:r w:rsidR="00330B23">
        <w:rPr>
          <w:sz w:val="24"/>
          <w:szCs w:val="24"/>
        </w:rPr>
        <w:t>ą</w:t>
      </w:r>
      <w:r w:rsidR="003A14F8">
        <w:rPr>
          <w:sz w:val="24"/>
          <w:szCs w:val="24"/>
        </w:rPr>
        <w:t xml:space="preserve"> inwertery znajdujące się w wykazie urządzeń certyfikowanych </w:t>
      </w:r>
      <w:proofErr w:type="spellStart"/>
      <w:r w:rsidR="003A14F8">
        <w:rPr>
          <w:sz w:val="24"/>
          <w:szCs w:val="24"/>
        </w:rPr>
        <w:t>PTPiREE</w:t>
      </w:r>
      <w:proofErr w:type="spellEnd"/>
      <w:r w:rsidR="003A14F8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hyperlink r:id="rId8" w:history="1">
        <w:r w:rsidRPr="002772BA">
          <w:rPr>
            <w:rStyle w:val="Hipercze"/>
            <w:sz w:val="24"/>
            <w:szCs w:val="24"/>
          </w:rPr>
          <w:t>https://ptpiree.pl/kodeksy-sieci/wykaz-certyfikatow/</w:t>
        </w:r>
      </w:hyperlink>
      <w:r>
        <w:rPr>
          <w:sz w:val="24"/>
          <w:szCs w:val="24"/>
        </w:rPr>
        <w:t>)</w:t>
      </w:r>
      <w:r w:rsidR="003A14F8">
        <w:rPr>
          <w:sz w:val="24"/>
          <w:szCs w:val="24"/>
        </w:rPr>
        <w:t xml:space="preserve">posiadające funkcje </w:t>
      </w:r>
      <w:r w:rsidR="00330B23">
        <w:rPr>
          <w:sz w:val="24"/>
          <w:szCs w:val="24"/>
        </w:rPr>
        <w:t>kompensacji mocy czynnej i biernej oraz dedykowane oprogramowanie do monitorowania pracy instalacji</w:t>
      </w:r>
      <w:r w:rsidR="007335AA">
        <w:rPr>
          <w:sz w:val="24"/>
          <w:szCs w:val="24"/>
        </w:rPr>
        <w:t xml:space="preserve">, których pozostałe parametry są dostosowane do obsługiwanej instalacji. </w:t>
      </w:r>
    </w:p>
    <w:p w14:paraId="53F92915" w14:textId="424E8DF6" w:rsidR="0089729F" w:rsidRDefault="004650E2" w:rsidP="0030484E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335AA">
        <w:rPr>
          <w:sz w:val="24"/>
          <w:szCs w:val="24"/>
        </w:rPr>
        <w:t xml:space="preserve">Jako panele równoważne do wskazanych w opracowaniu technicznym dopuszczone są panele fotowoltaiczne </w:t>
      </w:r>
      <w:r w:rsidR="00BB7A58">
        <w:rPr>
          <w:sz w:val="24"/>
          <w:szCs w:val="24"/>
        </w:rPr>
        <w:t>wykonane w technologii monokrystalicznej, spełniającym normy IEC 61215</w:t>
      </w:r>
      <w:r w:rsidR="0030484E">
        <w:rPr>
          <w:rStyle w:val="Odwoanieprzypisudolnego"/>
          <w:sz w:val="24"/>
          <w:szCs w:val="24"/>
        </w:rPr>
        <w:footnoteReference w:id="1"/>
      </w:r>
      <w:r w:rsidR="00BB7A58">
        <w:rPr>
          <w:sz w:val="24"/>
          <w:szCs w:val="24"/>
        </w:rPr>
        <w:t>, IEC 6173</w:t>
      </w:r>
      <w:r>
        <w:rPr>
          <w:sz w:val="24"/>
          <w:szCs w:val="24"/>
        </w:rPr>
        <w:t>0</w:t>
      </w:r>
      <w:r w:rsidR="0030484E">
        <w:rPr>
          <w:rStyle w:val="Odwoanieprzypisudolnego"/>
          <w:sz w:val="24"/>
          <w:szCs w:val="24"/>
        </w:rPr>
        <w:footnoteReference w:id="2"/>
      </w:r>
      <w:r w:rsidR="00BB7A58">
        <w:rPr>
          <w:sz w:val="24"/>
          <w:szCs w:val="24"/>
        </w:rPr>
        <w:t xml:space="preserve">, </w:t>
      </w:r>
      <w:r w:rsidR="00BB7A58">
        <w:rPr>
          <w:sz w:val="24"/>
          <w:szCs w:val="24"/>
        </w:rPr>
        <w:lastRenderedPageBreak/>
        <w:t>oznakowany znakiem CE, oraz dobranym prądowo i napięciowo do współpracy z oferowanym inwerterem.</w:t>
      </w:r>
    </w:p>
    <w:p w14:paraId="08D9EC24" w14:textId="4E892D19" w:rsidR="0030484E" w:rsidRPr="00D75B0C" w:rsidRDefault="0030484E" w:rsidP="0030484E">
      <w:pPr>
        <w:spacing w:line="240" w:lineRule="auto"/>
        <w:jc w:val="both"/>
      </w:pPr>
      <w:r>
        <w:rPr>
          <w:sz w:val="24"/>
          <w:szCs w:val="24"/>
        </w:rPr>
        <w:t>7. Integralna częścią opisu przedmiotu zamówienia jest Opracowanie Techniczne</w:t>
      </w:r>
      <w:r w:rsidR="00652525">
        <w:rPr>
          <w:sz w:val="24"/>
          <w:szCs w:val="24"/>
        </w:rPr>
        <w:t xml:space="preserve"> (</w:t>
      </w:r>
      <w:proofErr w:type="spellStart"/>
      <w:r w:rsidR="00652525">
        <w:rPr>
          <w:sz w:val="24"/>
          <w:szCs w:val="24"/>
        </w:rPr>
        <w:t>zal</w:t>
      </w:r>
      <w:proofErr w:type="spellEnd"/>
      <w:r w:rsidR="00652525">
        <w:rPr>
          <w:sz w:val="24"/>
          <w:szCs w:val="24"/>
        </w:rPr>
        <w:t xml:space="preserve"> 1_2)</w:t>
      </w:r>
    </w:p>
    <w:sectPr w:rsidR="0030484E" w:rsidRPr="00D75B0C" w:rsidSect="0030484E">
      <w:headerReference w:type="default" r:id="rId9"/>
      <w:pgSz w:w="11906" w:h="16838"/>
      <w:pgMar w:top="709" w:right="99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4664D" w14:textId="77777777" w:rsidR="00F32B4C" w:rsidRDefault="00F32B4C" w:rsidP="0030484E">
      <w:pPr>
        <w:spacing w:after="0" w:line="240" w:lineRule="auto"/>
      </w:pPr>
      <w:r>
        <w:separator/>
      </w:r>
    </w:p>
  </w:endnote>
  <w:endnote w:type="continuationSeparator" w:id="0">
    <w:p w14:paraId="4FFCC2AD" w14:textId="77777777" w:rsidR="00F32B4C" w:rsidRDefault="00F32B4C" w:rsidP="0030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837D8" w14:textId="77777777" w:rsidR="00F32B4C" w:rsidRDefault="00F32B4C" w:rsidP="0030484E">
      <w:pPr>
        <w:spacing w:after="0" w:line="240" w:lineRule="auto"/>
      </w:pPr>
      <w:r>
        <w:separator/>
      </w:r>
    </w:p>
  </w:footnote>
  <w:footnote w:type="continuationSeparator" w:id="0">
    <w:p w14:paraId="518776D1" w14:textId="77777777" w:rsidR="00F32B4C" w:rsidRDefault="00F32B4C" w:rsidP="0030484E">
      <w:pPr>
        <w:spacing w:after="0" w:line="240" w:lineRule="auto"/>
      </w:pPr>
      <w:r>
        <w:continuationSeparator/>
      </w:r>
    </w:p>
  </w:footnote>
  <w:footnote w:id="1">
    <w:p w14:paraId="78580383" w14:textId="66C86D9D" w:rsidR="0030484E" w:rsidRPr="0030484E" w:rsidRDefault="0030484E" w:rsidP="0030484E">
      <w:pPr>
        <w:pStyle w:val="Tekstprzypisudolnego"/>
      </w:pPr>
      <w:r>
        <w:rPr>
          <w:rStyle w:val="Odwoanieprzypisudolnego"/>
        </w:rPr>
        <w:footnoteRef/>
      </w:r>
      <w:r>
        <w:t xml:space="preserve"> Lub równoważne w których </w:t>
      </w:r>
      <w:r w:rsidRPr="0030484E">
        <w:t>sprawdza</w:t>
      </w:r>
      <w:r>
        <w:t xml:space="preserve"> się</w:t>
      </w:r>
      <w:r w:rsidRPr="0030484E">
        <w:t>, czy panel wytrzyma co najmniej 25 lat eksploatacji w trudnych warunkach zewnętrznych i czy nie straci przy tym znacząco swojej mocy. Testy</w:t>
      </w:r>
      <w:r>
        <w:t xml:space="preserve"> winny obejmować</w:t>
      </w:r>
      <w:r w:rsidRPr="0030484E">
        <w:t>:</w:t>
      </w:r>
    </w:p>
    <w:p w14:paraId="638BA23D" w14:textId="71BCFDAC" w:rsidR="0030484E" w:rsidRPr="0030484E" w:rsidRDefault="0030484E" w:rsidP="0030484E">
      <w:pPr>
        <w:pStyle w:val="Tekstprzypisudolnego"/>
        <w:numPr>
          <w:ilvl w:val="0"/>
          <w:numId w:val="3"/>
        </w:numPr>
      </w:pPr>
      <w:r w:rsidRPr="0030484E">
        <w:rPr>
          <w:b/>
          <w:bCs/>
        </w:rPr>
        <w:t>Odporność mechaniczną:</w:t>
      </w:r>
      <w:r w:rsidRPr="0030484E">
        <w:t> m.in. testy na uderzenie gradu oraz wytrzymałość na obciążenie śniegiem i wiatrem.</w:t>
      </w:r>
    </w:p>
    <w:p w14:paraId="7EDBDC7E" w14:textId="77777777" w:rsidR="0030484E" w:rsidRPr="0030484E" w:rsidRDefault="0030484E" w:rsidP="0030484E">
      <w:pPr>
        <w:pStyle w:val="Tekstprzypisudolnego"/>
        <w:numPr>
          <w:ilvl w:val="0"/>
          <w:numId w:val="3"/>
        </w:numPr>
      </w:pPr>
      <w:r w:rsidRPr="0030484E">
        <w:rPr>
          <w:b/>
          <w:bCs/>
        </w:rPr>
        <w:t>Odporność środowiskową:</w:t>
      </w:r>
      <w:r w:rsidRPr="0030484E">
        <w:t> cykle zamrażania i rozmrażania, testy wilgotnego ciepła oraz ekspozycję na promieniowanie UV.</w:t>
      </w:r>
    </w:p>
    <w:p w14:paraId="59D314F8" w14:textId="3AD0D109" w:rsidR="0030484E" w:rsidRDefault="0030484E" w:rsidP="0030484E">
      <w:pPr>
        <w:pStyle w:val="Tekstprzypisudolnego"/>
        <w:numPr>
          <w:ilvl w:val="0"/>
          <w:numId w:val="3"/>
        </w:numPr>
      </w:pPr>
      <w:r w:rsidRPr="0030484E">
        <w:rPr>
          <w:b/>
          <w:bCs/>
        </w:rPr>
        <w:t>Stabilność parametrów elektrycznych:</w:t>
      </w:r>
      <w:r w:rsidRPr="0030484E">
        <w:t> </w:t>
      </w:r>
      <w:proofErr w:type="gramStart"/>
      <w:r w:rsidRPr="0030484E">
        <w:t>weryfikację,</w:t>
      </w:r>
      <w:proofErr w:type="gramEnd"/>
      <w:r w:rsidRPr="0030484E">
        <w:t xml:space="preserve"> czy spadek mocy po testach nie przekracza dopuszczalnych 5%</w:t>
      </w:r>
      <w:r>
        <w:t xml:space="preserve"> </w:t>
      </w:r>
    </w:p>
  </w:footnote>
  <w:footnote w:id="2">
    <w:p w14:paraId="1DB8CBBD" w14:textId="3571227A" w:rsidR="0030484E" w:rsidRPr="0030484E" w:rsidRDefault="0030484E" w:rsidP="0030484E">
      <w:pPr>
        <w:pStyle w:val="Tekstprzypisudolnego"/>
      </w:pPr>
      <w:r>
        <w:rPr>
          <w:rStyle w:val="Odwoanieprzypisudolnego"/>
        </w:rPr>
        <w:footnoteRef/>
      </w:r>
      <w:r>
        <w:t xml:space="preserve"> Lub równoważne w których</w:t>
      </w:r>
      <w:r w:rsidRPr="0030484E">
        <w:rPr>
          <w:rFonts w:ascii="Arial" w:eastAsia="Times New Roman" w:hAnsi="Arial" w:cs="Arial"/>
          <w:color w:val="0A0A0A"/>
          <w:kern w:val="0"/>
          <w:sz w:val="24"/>
          <w:szCs w:val="24"/>
          <w:lang w:eastAsia="pl-PL"/>
          <w14:ligatures w14:val="none"/>
        </w:rPr>
        <w:t xml:space="preserve"> </w:t>
      </w:r>
      <w:r>
        <w:t>b</w:t>
      </w:r>
      <w:r w:rsidRPr="0030484E">
        <w:t>adane są: </w:t>
      </w:r>
    </w:p>
    <w:p w14:paraId="556CC91B" w14:textId="77777777" w:rsidR="0030484E" w:rsidRPr="0030484E" w:rsidRDefault="0030484E" w:rsidP="0030484E">
      <w:pPr>
        <w:pStyle w:val="Tekstprzypisudolnego"/>
        <w:numPr>
          <w:ilvl w:val="0"/>
          <w:numId w:val="4"/>
        </w:numPr>
      </w:pPr>
      <w:r w:rsidRPr="0030484E">
        <w:rPr>
          <w:b/>
          <w:bCs/>
        </w:rPr>
        <w:t>Ochrona przed porażeniem:</w:t>
      </w:r>
      <w:r w:rsidRPr="0030484E">
        <w:t> m.in. wytrzymałość izolacji elektrycznej i prawidłowość uziemienia.</w:t>
      </w:r>
    </w:p>
    <w:p w14:paraId="496BFA88" w14:textId="77777777" w:rsidR="0030484E" w:rsidRPr="0030484E" w:rsidRDefault="0030484E" w:rsidP="0030484E">
      <w:pPr>
        <w:pStyle w:val="Tekstprzypisudolnego"/>
        <w:numPr>
          <w:ilvl w:val="0"/>
          <w:numId w:val="4"/>
        </w:numPr>
      </w:pPr>
      <w:r w:rsidRPr="0030484E">
        <w:rPr>
          <w:b/>
          <w:bCs/>
        </w:rPr>
        <w:t>Zagrożenie pożarowe:</w:t>
      </w:r>
      <w:r w:rsidRPr="0030484E">
        <w:t> testy palności materiałów, z których wykonany jest panel, oraz odporność na rozprzestrzenianie ognia.</w:t>
      </w:r>
    </w:p>
    <w:p w14:paraId="56D485E1" w14:textId="4A26EEBB" w:rsidR="0030484E" w:rsidRDefault="0030484E" w:rsidP="00EC53E2">
      <w:pPr>
        <w:pStyle w:val="Tekstprzypisudolnego"/>
        <w:numPr>
          <w:ilvl w:val="0"/>
          <w:numId w:val="4"/>
        </w:numPr>
      </w:pPr>
      <w:r w:rsidRPr="0030484E">
        <w:rPr>
          <w:b/>
          <w:bCs/>
        </w:rPr>
        <w:t>Bezpieczeństwo konstrukcji:</w:t>
      </w:r>
      <w:r w:rsidRPr="0030484E">
        <w:t> sprawdzenie, czy w przypadku uszkodzenia mechanicznego (np. pęknięcia szkła) panel nadal pozostaje bezpieczny i nie stwarza ryzyka dla otoczenia.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7240" w14:textId="14A7D13E" w:rsidR="00C517CD" w:rsidRPr="00C517CD" w:rsidRDefault="00C517CD" w:rsidP="00C517CD">
    <w:pPr>
      <w:pStyle w:val="Nagwek"/>
    </w:pPr>
    <w:r w:rsidRPr="00AC3D52">
      <w:rPr>
        <w:noProof/>
      </w:rPr>
      <w:drawing>
        <wp:inline distT="0" distB="0" distL="0" distR="0" wp14:anchorId="0512EEC0" wp14:editId="425E0135">
          <wp:extent cx="5759450" cy="599440"/>
          <wp:effectExtent l="0" t="0" r="0" b="0"/>
          <wp:docPr id="877215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21551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86756C"/>
    <w:multiLevelType w:val="hybridMultilevel"/>
    <w:tmpl w:val="B0B6D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54373"/>
    <w:multiLevelType w:val="multilevel"/>
    <w:tmpl w:val="C94E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9C0FD8"/>
    <w:multiLevelType w:val="multilevel"/>
    <w:tmpl w:val="1248D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FC591D"/>
    <w:multiLevelType w:val="hybridMultilevel"/>
    <w:tmpl w:val="DCEE1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980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2558428">
    <w:abstractNumId w:val="3"/>
  </w:num>
  <w:num w:numId="3" w16cid:durableId="666590212">
    <w:abstractNumId w:val="1"/>
  </w:num>
  <w:num w:numId="4" w16cid:durableId="603271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CD"/>
    <w:rsid w:val="000E67A5"/>
    <w:rsid w:val="00171283"/>
    <w:rsid w:val="00303E07"/>
    <w:rsid w:val="0030484E"/>
    <w:rsid w:val="00330B23"/>
    <w:rsid w:val="003A14F8"/>
    <w:rsid w:val="00415BFC"/>
    <w:rsid w:val="004650E2"/>
    <w:rsid w:val="004804E7"/>
    <w:rsid w:val="005B0546"/>
    <w:rsid w:val="005E2847"/>
    <w:rsid w:val="00626477"/>
    <w:rsid w:val="00652525"/>
    <w:rsid w:val="006F714D"/>
    <w:rsid w:val="007335AA"/>
    <w:rsid w:val="00797942"/>
    <w:rsid w:val="0089729F"/>
    <w:rsid w:val="00A652C0"/>
    <w:rsid w:val="00B119E6"/>
    <w:rsid w:val="00BB7A58"/>
    <w:rsid w:val="00C40BD5"/>
    <w:rsid w:val="00C517CD"/>
    <w:rsid w:val="00CE0505"/>
    <w:rsid w:val="00D4156F"/>
    <w:rsid w:val="00D75B0C"/>
    <w:rsid w:val="00DA64CD"/>
    <w:rsid w:val="00EB3DFE"/>
    <w:rsid w:val="00EF4318"/>
    <w:rsid w:val="00F32B4C"/>
    <w:rsid w:val="00F6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6AB4"/>
  <w15:chartTrackingRefBased/>
  <w15:docId w15:val="{AB148B0B-CF11-4282-9142-5754FFF9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64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64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64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64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64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64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64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64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64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64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64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64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64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64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64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64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64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64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64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6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4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64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64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64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64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64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64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64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64CD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650E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50E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8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48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525"/>
  </w:style>
  <w:style w:type="paragraph" w:styleId="Stopka">
    <w:name w:val="footer"/>
    <w:basedOn w:val="Normalny"/>
    <w:link w:val="StopkaZnak"/>
    <w:uiPriority w:val="99"/>
    <w:unhideWhenUsed/>
    <w:rsid w:val="00652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piree.pl/kodeksy-sieci/wykaz-certyfikato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71F4B-6425-42CC-8E03-9C34B1A8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Kmiecik-Żądło</dc:creator>
  <cp:keywords/>
  <dc:description/>
  <cp:lastModifiedBy>Izabela Zlezarczyk</cp:lastModifiedBy>
  <cp:revision>3</cp:revision>
  <dcterms:created xsi:type="dcterms:W3CDTF">2026-01-30T08:44:00Z</dcterms:created>
  <dcterms:modified xsi:type="dcterms:W3CDTF">2026-01-30T09:51:00Z</dcterms:modified>
</cp:coreProperties>
</file>